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CellMar>
          <w:top w:w="15" w:type="dxa"/>
          <w:left w:w="15" w:type="dxa"/>
          <w:bottom w:w="15" w:type="dxa"/>
          <w:right w:w="15" w:type="dxa"/>
        </w:tblCellMar>
        <w:tblLook w:val="04A0"/>
      </w:tblPr>
      <w:tblGrid>
        <w:gridCol w:w="9162"/>
      </w:tblGrid>
      <w:tr w:rsidR="006E3A0A" w:rsidRPr="006E3A0A">
        <w:trPr>
          <w:tblCellSpacing w:w="15" w:type="dxa"/>
          <w:jc w:val="center"/>
        </w:trPr>
        <w:tc>
          <w:tcPr>
            <w:tcW w:w="5000" w:type="pct"/>
            <w:hideMark/>
          </w:tcPr>
          <w:p w:rsidR="006E3A0A" w:rsidRPr="006E3A0A" w:rsidRDefault="006E3A0A" w:rsidP="006E3A0A">
            <w:pPr>
              <w:spacing w:before="100" w:beforeAutospacing="1" w:after="100" w:afterAutospacing="1" w:line="240" w:lineRule="auto"/>
              <w:jc w:val="center"/>
              <w:rPr>
                <w:rFonts w:ascii="Times New Roman" w:eastAsia="Times New Roman" w:hAnsi="Times New Roman" w:cs="Times New Roman"/>
                <w:sz w:val="24"/>
                <w:szCs w:val="24"/>
                <w:lang w:eastAsia="cs-CZ"/>
              </w:rPr>
            </w:pPr>
            <w:bookmarkStart w:id="0" w:name="top"/>
            <w:r>
              <w:rPr>
                <w:rFonts w:ascii="Times New Roman" w:eastAsia="Times New Roman" w:hAnsi="Times New Roman" w:cs="Times New Roman"/>
                <w:noProof/>
                <w:sz w:val="24"/>
                <w:szCs w:val="24"/>
                <w:lang w:eastAsia="cs-CZ"/>
              </w:rPr>
              <w:drawing>
                <wp:inline distT="0" distB="0" distL="0" distR="0">
                  <wp:extent cx="3166110" cy="741680"/>
                  <wp:effectExtent l="19050" t="0" r="0" b="0"/>
                  <wp:docPr id="1" name="obrázek 1" descr="Periskop - Příb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skop - Příbram"/>
                          <pic:cNvPicPr>
                            <a:picLocks noChangeAspect="1" noChangeArrowheads="1"/>
                          </pic:cNvPicPr>
                        </pic:nvPicPr>
                        <pic:blipFill>
                          <a:blip r:embed="rId4" cstate="print"/>
                          <a:srcRect/>
                          <a:stretch>
                            <a:fillRect/>
                          </a:stretch>
                        </pic:blipFill>
                        <pic:spPr bwMode="auto">
                          <a:xfrm>
                            <a:off x="0" y="0"/>
                            <a:ext cx="3166110" cy="741680"/>
                          </a:xfrm>
                          <a:prstGeom prst="rect">
                            <a:avLst/>
                          </a:prstGeom>
                          <a:noFill/>
                          <a:ln w="9525">
                            <a:noFill/>
                            <a:miter lim="800000"/>
                            <a:headEnd/>
                            <a:tailEnd/>
                          </a:ln>
                        </pic:spPr>
                      </pic:pic>
                    </a:graphicData>
                  </a:graphic>
                </wp:inline>
              </w:drawing>
            </w:r>
            <w:bookmarkEnd w:id="0"/>
          </w:p>
          <w:tbl>
            <w:tblPr>
              <w:tblW w:w="5000" w:type="pct"/>
              <w:tblCellSpacing w:w="0" w:type="dxa"/>
              <w:tblBorders>
                <w:top w:val="outset" w:sz="6" w:space="0" w:color="FFD700"/>
                <w:left w:val="outset" w:sz="6" w:space="0" w:color="FFD700"/>
                <w:bottom w:val="outset" w:sz="6" w:space="0" w:color="FFD700"/>
                <w:right w:val="outset" w:sz="6" w:space="0" w:color="FFD700"/>
              </w:tblBorders>
              <w:tblCellMar>
                <w:left w:w="0" w:type="dxa"/>
                <w:right w:w="0" w:type="dxa"/>
              </w:tblCellMar>
              <w:tblLook w:val="04A0"/>
            </w:tblPr>
            <w:tblGrid>
              <w:gridCol w:w="9056"/>
            </w:tblGrid>
            <w:tr w:rsidR="006E3A0A" w:rsidRPr="006E3A0A">
              <w:trPr>
                <w:tblCellSpacing w:w="0" w:type="dxa"/>
              </w:trPr>
              <w:tc>
                <w:tcPr>
                  <w:tcW w:w="5000" w:type="pct"/>
                  <w:tcBorders>
                    <w:top w:val="outset" w:sz="6" w:space="0" w:color="FFD700"/>
                    <w:left w:val="outset" w:sz="6" w:space="0" w:color="FFD700"/>
                    <w:bottom w:val="outset" w:sz="6" w:space="0" w:color="FFD700"/>
                    <w:right w:val="outset" w:sz="6" w:space="0" w:color="FFD700"/>
                  </w:tcBorders>
                  <w:shd w:val="clear" w:color="auto" w:fill="FFD700"/>
                  <w:vAlign w:val="center"/>
                  <w:hideMark/>
                </w:tcPr>
                <w:p w:rsidR="006E3A0A" w:rsidRPr="006E3A0A" w:rsidRDefault="006E3A0A" w:rsidP="006E3A0A">
                  <w:pPr>
                    <w:spacing w:after="0" w:line="240" w:lineRule="auto"/>
                    <w:rPr>
                      <w:rFonts w:ascii="Times New Roman" w:eastAsia="Times New Roman" w:hAnsi="Times New Roman" w:cs="Times New Roman"/>
                      <w:sz w:val="24"/>
                      <w:szCs w:val="24"/>
                      <w:lang w:eastAsia="cs-CZ"/>
                    </w:rPr>
                  </w:pPr>
                  <w:r w:rsidRPr="006E3A0A">
                    <w:rPr>
                      <w:rFonts w:eastAsia="Times New Roman"/>
                      <w:b/>
                      <w:bCs/>
                      <w:color w:val="000080"/>
                      <w:sz w:val="20"/>
                      <w:lang w:eastAsia="cs-CZ"/>
                    </w:rPr>
                    <w:t>Modernizace 7. základní školy v Příbrami</w:t>
                  </w:r>
                </w:p>
              </w:tc>
            </w:tr>
            <w:tr w:rsidR="006E3A0A" w:rsidRPr="006E3A0A">
              <w:trPr>
                <w:tblCellSpacing w:w="0" w:type="dxa"/>
              </w:trPr>
              <w:tc>
                <w:tcPr>
                  <w:tcW w:w="5000" w:type="pct"/>
                  <w:tcBorders>
                    <w:top w:val="outset" w:sz="6" w:space="0" w:color="F8EDCB"/>
                    <w:left w:val="outset" w:sz="6" w:space="0" w:color="F8EDCB"/>
                    <w:bottom w:val="outset" w:sz="6" w:space="0" w:color="F8EDCB"/>
                    <w:right w:val="outset" w:sz="6" w:space="0" w:color="F8EDCB"/>
                  </w:tcBorders>
                  <w:shd w:val="clear" w:color="auto" w:fill="F8EDCB"/>
                  <w:vAlign w:val="center"/>
                  <w:hideMark/>
                </w:tcPr>
                <w:p w:rsidR="006E3A0A" w:rsidRPr="006E3A0A" w:rsidRDefault="006E3A0A" w:rsidP="006E3A0A">
                  <w:pPr>
                    <w:spacing w:after="0" w:line="240" w:lineRule="auto"/>
                    <w:rPr>
                      <w:rFonts w:eastAsia="Times New Roman"/>
                      <w:sz w:val="20"/>
                      <w:szCs w:val="20"/>
                      <w:lang w:eastAsia="cs-CZ"/>
                    </w:rPr>
                  </w:pPr>
                  <w:r>
                    <w:rPr>
                      <w:rFonts w:ascii="Times New Roman" w:eastAsia="Times New Roman" w:hAnsi="Times New Roman" w:cs="Times New Roman"/>
                      <w:noProof/>
                      <w:sz w:val="24"/>
                      <w:szCs w:val="24"/>
                      <w:lang w:eastAsia="cs-CZ"/>
                    </w:rPr>
                    <w:drawing>
                      <wp:anchor distT="0" distB="0" distL="28575" distR="28575" simplePos="0" relativeHeight="251658240" behindDoc="0" locked="0" layoutInCell="1" allowOverlap="0">
                        <wp:simplePos x="0" y="0"/>
                        <wp:positionH relativeFrom="column">
                          <wp:align>left</wp:align>
                        </wp:positionH>
                        <wp:positionV relativeFrom="line">
                          <wp:posOffset>0</wp:posOffset>
                        </wp:positionV>
                        <wp:extent cx="4286250" cy="3219450"/>
                        <wp:effectExtent l="19050" t="0" r="0" b="0"/>
                        <wp:wrapSquare wrapText="bothSides"/>
                        <wp:docPr id="2" name="obrázek 2" descr="http://www.periskop-pribram.cz/data/GIFS/09per42/moderniz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skop-pribram.cz/data/GIFS/09per42/modernizace.jpg"/>
                                <pic:cNvPicPr>
                                  <a:picLocks noChangeAspect="1" noChangeArrowheads="1"/>
                                </pic:cNvPicPr>
                              </pic:nvPicPr>
                              <pic:blipFill>
                                <a:blip r:embed="rId5" cstate="print"/>
                                <a:srcRect/>
                                <a:stretch>
                                  <a:fillRect/>
                                </a:stretch>
                              </pic:blipFill>
                              <pic:spPr bwMode="auto">
                                <a:xfrm>
                                  <a:off x="0" y="0"/>
                                  <a:ext cx="4286250" cy="3219450"/>
                                </a:xfrm>
                                <a:prstGeom prst="rect">
                                  <a:avLst/>
                                </a:prstGeom>
                                <a:noFill/>
                                <a:ln w="9525">
                                  <a:noFill/>
                                  <a:miter lim="800000"/>
                                  <a:headEnd/>
                                  <a:tailEnd/>
                                </a:ln>
                              </pic:spPr>
                            </pic:pic>
                          </a:graphicData>
                        </a:graphic>
                      </wp:anchor>
                    </w:drawing>
                  </w:r>
                  <w:r w:rsidRPr="006E3A0A">
                    <w:rPr>
                      <w:rFonts w:eastAsia="Times New Roman"/>
                      <w:sz w:val="20"/>
                      <w:szCs w:val="20"/>
                      <w:lang w:eastAsia="cs-CZ"/>
                    </w:rPr>
                    <w:t xml:space="preserve">Slavnostní otevření zmodernizovaných prostor Základní školy ve Školní ulici v Příbrami proběhlo za účasti vážených hostů z řad zastupitelů města, Středočeského kraje a Norského království. Projekt byl podpořen grantem z Islandu, Lichtenštejnska a Norska v rámci Finančního mechanismu Evropského hospodářského prostoru, tzv. Norských fondů. Celkové náklady akce jsou přibližně 18 miliónů Kč, z čehož 9 miliónů je financováno z Norských fondů a zbylé náklady hradí město Příbram. Tento úspěšný projekt v úvodní projevu krátce představil a vážené hosty přivítal starosta města Příbram Josef Řihák. </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 xml:space="preserve">„Myslím si, že právě v dnešní době finanční krize, kdy ve světě, v Evropě, v České republice, městě Příbrami je ekonomická krize, je nesmírně důležité vědět o tom, jakým způsobem se finanční prostředky z různých investic a grantů využívají. Právě na této modernizaci je krásné, že v době krize investujeme prostředky do vzdělávání a výchovy našich dětí, do jejich i naší budoucnosti, protože jednou to budou i žáci této školy, kteří převezmou řízení měst, státu a možná i Evropské unie. Je to symbolické, že právě v době krize jsme dali finanční prostředky spolu s Norským královstvím do vzdělávání. Dovolil bych si jménem všech Příbramáků poděkovat velvyslanci Norského království Jensi Eikaasovi za významnou finanční injekci pro tento projekt. Bez těchto peněz bychom nebyli schopni realizovat myšlenky učitelů, rodičů a žáků, podle kterých se projekt realizoval. Paní ředitelce, učitelskému sboru, žákům - i těm kteří sem teprve přijdou – přeji, aby školní zařízení užívali ke svému prospěchu“, sdělil v uvítacím projevu starosta města Příbram Josef Řihák. </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Následně předal slovo norskému velvyslanci; Jens Eikaas dodal: „Velká část projektu je spolufinancována grantem z Islandu, Lichtenštejnska a Norska v rámci Finančního mechanismu Evropského finančního prostoru (EHP), tzv. Norských fondů. Norsko se podílí na celkové částce fondů 97 %. Tyto fondy byly zřízeny, aby podporovaly rozvoj nových členských zemí států EU, a tím i EHP. V posledních pěti letech Norsko spolu s Islandem a Lichtenštejnskem přispělo částkou 1,3 miliard eur na projekty, které přispívají ke snížení sociálních a ekonomických rozdílů v Evropě. V rámci fondů máme několik priorit a jednou z těch nejdůležitějších je právě rozvoj lidských zdrojů, pod nějž tento projekt spadá. Jsem tomu velmi rád, investice do vzdělání a do našich dětí je jednou z nejdůležitějších. Rád bych vám pogratuloval k realizaci a dokončení tohoto projektu, a doufám, že z něj budete mít opravdu užitek. Také tento projekt, stejně jako další, považuji za výraz společného přátelství mezi Českou republikou a Norskem.“</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 xml:space="preserve">Po úvodních projevech následovala prohlídka zrekonstruovaných částí školy. První zastávkou bylo velké nádvoří se dvěma streetbalovými hřišti s umělých povrchem, čtyřmi pevnými ping-pongovými </w:t>
                  </w:r>
                  <w:r w:rsidRPr="006E3A0A">
                    <w:rPr>
                      <w:rFonts w:eastAsia="Times New Roman"/>
                      <w:sz w:val="20"/>
                      <w:szCs w:val="20"/>
                      <w:lang w:eastAsia="cs-CZ"/>
                    </w:rPr>
                    <w:lastRenderedPageBreak/>
                    <w:t xml:space="preserve">stoly, dřevěnou lezeckou věží, kuželkami a šachy, nechybí zde ani lavičky. </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 xml:space="preserve">Následovala zimní zahrada, kde hosty přivítaly krátkým hudebním vystoupením děti ze školního pěveckého sboru Jásan. Zde byl kompletně opraven interiér sádrokartonovými podhledy, zavedena nová elektroinstalace včetně nového osvětlení a vymalování. </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 xml:space="preserve">Specialitou 7. ZŠ je vnitřní běžecká dráha, která dostala nový umělohmotný povrch, díky kterému může probíhat sportovní výuka a tréninky i v zimních měsících. </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 xml:space="preserve">Rekonstrukcí prošly také školní tělocvičny a víceúčelové hřiště s umělohmotným povrchem, umělohmotná dráha pro skok daleký s pískovým doskočištěm. </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Pro žáky prvního stupně a potřeby družiny budou sloužit na malém nádvoří dřevěná houpadla, domek, kreslící zídky herní sestava s lany, žebříky, skluzavkami. Hřiště se realizovala podle nápadů a obrázků žáků školy, což je docela zajímavý postup, proto jsme se zeptali ředitelky školy Dany Křápkové, jak to vypadalo v praxi?</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„V praxi to vypadalo tak, že děti kreslily a malovaly, jak by měly vypadat areály hřiště, prolézačky a celý areál.“</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Jak moc se projektanti drželi vašich nápadů?</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„Projektanti se těch nápadů museli držet, protože zrovna když jsme vybírali prolézačky, nabídek je hodně a já jsem dva dny společně s projektanty vybírala z nabídek, aby to opravdu odpovídalo tomu, co si děti přály.“</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Děti ale pomáhaly i při práci samotné...</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„Poprosili jsme rodiče, a několik chlapců zvlášť pomáhalo, když jsme potřebovali ručně převážet materiál, kátrovat zem a podobně. Pět měsíců jsme byli jen ve dvou pavilonech a potřebovali jsme malé děti zase přestěhovat nazpátek. Chlapci byli pravou rukou pana školníka – bez něj by se závěrečné práce nedodělaly.“</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Co vám ještě schází?</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„Sluníčko. Budeme čekat do jara, až se všechno zazelená, a budeme dotvářet zahradu. Ten projekt byl sportovní, a v podstatě tím, že jsme oslovili zahradnickou firmu společně s rodiči, kteří nás finančně podpořili, najednou se areál změnil v zahradu. Až to na jaře všechno zaroste, určitě mi dáte za pravdu.</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Po prohlídce areálu školy jsme ze zeptali velvyslance Norského království, jak je s tímto projektem spokojen. „S tímto projektem jsem velmi spokojen a velice mne těší, že přibylo sportovního vybavení. Je důležité jak děti tráví volný čas.“</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Budou tyto fondy dále pokračovat ve své činnosti?</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„Stále čekáme na konečnou dohodu mezi státy EHP a EU. Jakmile dohoda bude, zahájíme bilaterální jednání mezi dárci a příjemci. Doufáme, že jednání bude velmi brzy, měli jsme spolu velmi dobrou spolupráci, mnoho jsme se naučili, a doufáme že budeme pokračovat.“</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Budou i v budoucnosti Norské fondy zaměřeny na vzdělávání?</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„Priority budou určeny až v rámci bilaterálního jednání s ČR, ale předpokládáme, že na vzdělání bude.“</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 xml:space="preserve">Starosty města Příbrami jsme se zeptali, jestli je rekonstrukce 7. Základní školy jediná akce, která se </w:t>
                  </w:r>
                  <w:r w:rsidRPr="006E3A0A">
                    <w:rPr>
                      <w:rFonts w:eastAsia="Times New Roman"/>
                      <w:sz w:val="20"/>
                      <w:szCs w:val="20"/>
                      <w:lang w:eastAsia="cs-CZ"/>
                    </w:rPr>
                    <w:lastRenderedPageBreak/>
                    <w:t>z Norských fondů v Příbrami realizovala...</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„Byli jsme úspěšní už v první výzvě Norských fondů a provedli jsme rekonstrukci 4. ZŠ. Poté jsme uspěli i ve druhém kole. Mně osobně se na této realizaci líbí, že děti a učitelé přišli se svými návrhy a město poskytlo servis: přes servisní firmu jsme nechali zpracovat projekt, vypracovali žádost, a byli jsme úspěšní. Ale to, co tady vidíme, z větší části vymysleli děti a učitelé.“</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Investovat v době krize do opravy školy – to by se někomu mohlo zdát jako vyhozené peníze...</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„Myslím, že stát by si z nás měl vzít příklad, že v době krize investujeme do budoucnosti. Investice do budoucnosti je ta nejlepší. Není to jednoduché vytáhnout v dnešní době 9 miliónů a něco udělat.“</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Máte připraveny další projekty podobného ražení?</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„Máme hodně projektů, a já bych chtěl poděkovat všem, kdo nám pomáhají. S projekty oslovujeme EU, Státní fond životního prostředí, krajský úřad, prostě úloha starosty je spíš v tom, že někde běhá a škemrá o peníze do škol, na silnice a další, především sociální zařízení. Projektů máme hodně a věřím, že budeme i nadále úspěšní.“</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Na závěr prohlídky zrekonstruovaných prostor jsme se zeptali na názor bývalé učitelky paní Enenkelové, která na této škole učila od jejího postavení. „Jsem nadšená tím, co tady vzniklo, ale chybí mi to nadšení tělocvikářů. Já jsem tady začínala jako tělocvikářka se sportovní školou. Škola měla úžasné úspěchy, a teď, když jsem chodila kolem a bylo to strašně zarostlé, trpěla jsem, protože nám to dalo hroznou práci, než jsme to dali dohromady. A tak jsem ráda, že se tu začíná něco – hlavně se sportem – dělat. Mají tady úžasnou hudbu, výtvarnictví, tak snad začne i ten sport.“</w:t>
                  </w:r>
                </w:p>
                <w:p w:rsidR="006E3A0A" w:rsidRPr="006E3A0A" w:rsidRDefault="006E3A0A" w:rsidP="006E3A0A">
                  <w:pPr>
                    <w:spacing w:before="100" w:beforeAutospacing="1" w:after="100" w:afterAutospacing="1" w:line="240" w:lineRule="auto"/>
                    <w:rPr>
                      <w:rFonts w:eastAsia="Times New Roman"/>
                      <w:sz w:val="20"/>
                      <w:szCs w:val="20"/>
                      <w:lang w:eastAsia="cs-CZ"/>
                    </w:rPr>
                  </w:pPr>
                  <w:r w:rsidRPr="006E3A0A">
                    <w:rPr>
                      <w:rFonts w:eastAsia="Times New Roman"/>
                      <w:sz w:val="20"/>
                      <w:szCs w:val="20"/>
                      <w:lang w:eastAsia="cs-CZ"/>
                    </w:rPr>
                    <w:t xml:space="preserve">sp </w:t>
                  </w:r>
                </w:p>
              </w:tc>
            </w:tr>
          </w:tbl>
          <w:p w:rsidR="006E3A0A" w:rsidRPr="006E3A0A" w:rsidRDefault="006E3A0A" w:rsidP="006E3A0A">
            <w:pPr>
              <w:spacing w:after="0" w:line="240" w:lineRule="auto"/>
              <w:rPr>
                <w:rFonts w:ascii="Times New Roman" w:eastAsia="Times New Roman" w:hAnsi="Times New Roman" w:cs="Times New Roman"/>
                <w:sz w:val="24"/>
                <w:szCs w:val="24"/>
                <w:lang w:eastAsia="cs-CZ"/>
              </w:rPr>
            </w:pPr>
            <w:r w:rsidRPr="006E3A0A">
              <w:rPr>
                <w:rFonts w:ascii="Times New Roman" w:eastAsia="Times New Roman" w:hAnsi="Times New Roman" w:cs="Times New Roman"/>
                <w:sz w:val="24"/>
                <w:szCs w:val="24"/>
                <w:lang w:eastAsia="cs-CZ"/>
              </w:rPr>
              <w:lastRenderedPageBreak/>
              <w:pict>
                <v:rect id="_x0000_i1025" style="width:0;height:1.5pt" o:hralign="center" o:hrstd="t" o:hrnoshade="t" o:hr="t" fillcolor="#ffd700" stroked="f"/>
              </w:pict>
            </w:r>
          </w:p>
          <w:tbl>
            <w:tblPr>
              <w:tblW w:w="0" w:type="auto"/>
              <w:tblCellSpacing w:w="15" w:type="dxa"/>
              <w:tblCellMar>
                <w:top w:w="15" w:type="dxa"/>
                <w:left w:w="15" w:type="dxa"/>
                <w:bottom w:w="15" w:type="dxa"/>
                <w:right w:w="15" w:type="dxa"/>
              </w:tblCellMar>
              <w:tblLook w:val="04A0"/>
            </w:tblPr>
            <w:tblGrid>
              <w:gridCol w:w="150"/>
            </w:tblGrid>
            <w:tr w:rsidR="006E3A0A" w:rsidRPr="006E3A0A">
              <w:trPr>
                <w:tblCellSpacing w:w="15" w:type="dxa"/>
              </w:trPr>
              <w:tc>
                <w:tcPr>
                  <w:tcW w:w="0" w:type="auto"/>
                  <w:vAlign w:val="center"/>
                  <w:hideMark/>
                </w:tcPr>
                <w:p w:rsidR="006E3A0A" w:rsidRPr="006E3A0A" w:rsidRDefault="006E3A0A" w:rsidP="006E3A0A">
                  <w:pPr>
                    <w:spacing w:after="0" w:line="240" w:lineRule="auto"/>
                    <w:rPr>
                      <w:rFonts w:ascii="Times New Roman" w:eastAsia="Times New Roman" w:hAnsi="Times New Roman" w:cs="Times New Roman"/>
                      <w:sz w:val="24"/>
                      <w:szCs w:val="24"/>
                      <w:lang w:eastAsia="cs-CZ"/>
                    </w:rPr>
                  </w:pPr>
                  <w:r w:rsidRPr="006E3A0A">
                    <w:rPr>
                      <w:rFonts w:ascii="Times New Roman" w:eastAsia="Times New Roman" w:hAnsi="Times New Roman" w:cs="Times New Roman"/>
                      <w:sz w:val="24"/>
                      <w:szCs w:val="24"/>
                      <w:lang w:eastAsia="cs-CZ"/>
                    </w:rPr>
                    <w:t> </w:t>
                  </w:r>
                </w:p>
              </w:tc>
            </w:tr>
          </w:tbl>
          <w:p w:rsidR="006E3A0A" w:rsidRPr="006E3A0A" w:rsidRDefault="006E3A0A" w:rsidP="006E3A0A">
            <w:pPr>
              <w:spacing w:after="0" w:line="240" w:lineRule="auto"/>
              <w:rPr>
                <w:rFonts w:ascii="Times New Roman" w:eastAsia="Times New Roman" w:hAnsi="Times New Roman" w:cs="Times New Roman"/>
                <w:sz w:val="24"/>
                <w:szCs w:val="24"/>
                <w:lang w:eastAsia="cs-CZ"/>
              </w:rPr>
            </w:pPr>
            <w:hyperlink r:id="rId6" w:tgtFrame="hlavni" w:history="1">
              <w:r w:rsidRPr="006E3A0A">
                <w:rPr>
                  <w:rFonts w:eastAsia="Times New Roman"/>
                  <w:color w:val="0000FF"/>
                  <w:sz w:val="20"/>
                  <w:u w:val="single"/>
                  <w:lang w:eastAsia="cs-CZ"/>
                </w:rPr>
                <w:t>Keltové na Březových Horách</w:t>
              </w:r>
            </w:hyperlink>
            <w:r w:rsidRPr="006E3A0A">
              <w:rPr>
                <w:rFonts w:eastAsia="Times New Roman"/>
                <w:sz w:val="20"/>
                <w:szCs w:val="20"/>
                <w:lang w:eastAsia="cs-CZ"/>
              </w:rPr>
              <w:br/>
            </w:r>
            <w:hyperlink r:id="rId7" w:tgtFrame="hlavni" w:history="1">
              <w:r w:rsidRPr="006E3A0A">
                <w:rPr>
                  <w:rFonts w:eastAsia="Times New Roman"/>
                  <w:color w:val="0000FF"/>
                  <w:sz w:val="20"/>
                  <w:u w:val="single"/>
                  <w:lang w:eastAsia="cs-CZ"/>
                </w:rPr>
                <w:t>Jak se nám bude v zimě chodit?</w:t>
              </w:r>
            </w:hyperlink>
            <w:r w:rsidRPr="006E3A0A">
              <w:rPr>
                <w:rFonts w:eastAsia="Times New Roman"/>
                <w:sz w:val="20"/>
                <w:szCs w:val="20"/>
                <w:lang w:eastAsia="cs-CZ"/>
              </w:rPr>
              <w:br/>
            </w:r>
            <w:hyperlink r:id="rId8" w:tgtFrame="hlavni" w:history="1">
              <w:r w:rsidRPr="006E3A0A">
                <w:rPr>
                  <w:rFonts w:eastAsia="Times New Roman"/>
                  <w:color w:val="0000FF"/>
                  <w:sz w:val="20"/>
                  <w:u w:val="single"/>
                  <w:lang w:eastAsia="cs-CZ"/>
                </w:rPr>
                <w:t>Přijde čert Barborák</w:t>
              </w:r>
            </w:hyperlink>
            <w:r w:rsidRPr="006E3A0A">
              <w:rPr>
                <w:rFonts w:eastAsia="Times New Roman"/>
                <w:sz w:val="20"/>
                <w:szCs w:val="20"/>
                <w:lang w:eastAsia="cs-CZ"/>
              </w:rPr>
              <w:br/>
            </w:r>
            <w:hyperlink r:id="rId9" w:tgtFrame="hlavni" w:history="1">
              <w:r w:rsidRPr="006E3A0A">
                <w:rPr>
                  <w:rFonts w:eastAsia="Times New Roman"/>
                  <w:color w:val="0000FF"/>
                  <w:sz w:val="20"/>
                  <w:u w:val="single"/>
                  <w:lang w:eastAsia="cs-CZ"/>
                </w:rPr>
                <w:t>Podzim - čas sázení stromů</w:t>
              </w:r>
            </w:hyperlink>
            <w:r w:rsidRPr="006E3A0A">
              <w:rPr>
                <w:rFonts w:eastAsia="Times New Roman"/>
                <w:sz w:val="20"/>
                <w:szCs w:val="20"/>
                <w:lang w:eastAsia="cs-CZ"/>
              </w:rPr>
              <w:br/>
            </w:r>
            <w:hyperlink r:id="rId10" w:tgtFrame="hlavni" w:history="1">
              <w:r w:rsidRPr="006E3A0A">
                <w:rPr>
                  <w:rFonts w:eastAsia="Times New Roman"/>
                  <w:color w:val="0000FF"/>
                  <w:sz w:val="20"/>
                  <w:u w:val="single"/>
                  <w:lang w:eastAsia="cs-CZ"/>
                </w:rPr>
                <w:t>Parkovací místa se rozdělí spravedlivě</w:t>
              </w:r>
            </w:hyperlink>
            <w:r w:rsidRPr="006E3A0A">
              <w:rPr>
                <w:rFonts w:eastAsia="Times New Roman"/>
                <w:sz w:val="20"/>
                <w:szCs w:val="20"/>
                <w:lang w:eastAsia="cs-CZ"/>
              </w:rPr>
              <w:br/>
            </w:r>
            <w:hyperlink r:id="rId11" w:tgtFrame="hlavni" w:history="1">
              <w:r w:rsidRPr="006E3A0A">
                <w:rPr>
                  <w:rFonts w:eastAsia="Times New Roman"/>
                  <w:color w:val="0000FF"/>
                  <w:sz w:val="20"/>
                  <w:u w:val="single"/>
                  <w:lang w:eastAsia="cs-CZ"/>
                </w:rPr>
                <w:t>Nová mateřská školka v Příbrami</w:t>
              </w:r>
            </w:hyperlink>
          </w:p>
        </w:tc>
      </w:tr>
    </w:tbl>
    <w:p w:rsidR="00386BD9" w:rsidRDefault="00386BD9"/>
    <w:sectPr w:rsidR="00386BD9" w:rsidSect="00386B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6E3A0A"/>
    <w:rsid w:val="00386BD9"/>
    <w:rsid w:val="006E3A0A"/>
    <w:rsid w:val="00A21A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B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E3A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E3A0A"/>
    <w:rPr>
      <w:b/>
      <w:bCs/>
    </w:rPr>
  </w:style>
  <w:style w:type="character" w:styleId="Hypertextovodkaz">
    <w:name w:val="Hyperlink"/>
    <w:basedOn w:val="Standardnpsmoodstavce"/>
    <w:uiPriority w:val="99"/>
    <w:semiHidden/>
    <w:unhideWhenUsed/>
    <w:rsid w:val="006E3A0A"/>
    <w:rPr>
      <w:color w:val="0000FF"/>
      <w:u w:val="single"/>
    </w:rPr>
  </w:style>
  <w:style w:type="paragraph" w:styleId="Textbubliny">
    <w:name w:val="Balloon Text"/>
    <w:basedOn w:val="Normln"/>
    <w:link w:val="TextbublinyChar"/>
    <w:uiPriority w:val="99"/>
    <w:semiHidden/>
    <w:unhideWhenUsed/>
    <w:rsid w:val="006E3A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A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iskop-pribram.cz/clanek.asp?idVyd=485&amp;idStr=2&amp;idCla=3606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eriskop-pribram.cz/clanek.asp?idVyd=485&amp;idStr=2&amp;idCla=3606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skop-pribram.cz/clanek.asp?idVyd=485&amp;idStr=2&amp;idCla=36038" TargetMode="External"/><Relationship Id="rId11" Type="http://schemas.openxmlformats.org/officeDocument/2006/relationships/hyperlink" Target="http://www.periskop-pribram.cz/clanek.asp?idVyd=485&amp;idStr=2&amp;idCla=36069" TargetMode="External"/><Relationship Id="rId5" Type="http://schemas.openxmlformats.org/officeDocument/2006/relationships/image" Target="media/image2.jpeg"/><Relationship Id="rId10" Type="http://schemas.openxmlformats.org/officeDocument/2006/relationships/hyperlink" Target="http://www.periskop-pribram.cz/clanek.asp?idVyd=485&amp;idStr=2&amp;idCla=36068" TargetMode="External"/><Relationship Id="rId4" Type="http://schemas.openxmlformats.org/officeDocument/2006/relationships/image" Target="media/image1.gif"/><Relationship Id="rId9" Type="http://schemas.openxmlformats.org/officeDocument/2006/relationships/hyperlink" Target="http://www.periskop-pribram.cz/clanek.asp?idVyd=485&amp;idStr=2&amp;idCla=3606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7021</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skuhrovcova</dc:creator>
  <cp:keywords/>
  <dc:description/>
  <cp:lastModifiedBy>skuhrovcova</cp:lastModifiedBy>
  <cp:revision>1</cp:revision>
  <dcterms:created xsi:type="dcterms:W3CDTF">2009-12-14T15:35:00Z</dcterms:created>
  <dcterms:modified xsi:type="dcterms:W3CDTF">2009-12-14T15:35:00Z</dcterms:modified>
</cp:coreProperties>
</file>